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83A" w:rsidRDefault="008E683A" w:rsidP="008E683A">
      <w:pPr>
        <w:spacing w:before="100" w:line="200" w:lineRule="atLeast"/>
        <w:jc w:val="center"/>
        <w:rPr>
          <w:b/>
          <w:sz w:val="28"/>
          <w:szCs w:val="28"/>
          <w:lang w:val="ru-RU"/>
        </w:rPr>
      </w:pPr>
      <w:r>
        <w:rPr>
          <w:rFonts w:eastAsia="Times New Roman" w:cs="Times New Roman"/>
          <w:b/>
          <w:bCs/>
        </w:rPr>
        <w:t xml:space="preserve">            </w:t>
      </w:r>
      <w:r>
        <w:rPr>
          <w:rFonts w:eastAsia="Times New Roman" w:cs="Times New Roman"/>
          <w:b/>
          <w:bCs/>
          <w:noProof/>
          <w:lang w:val="ru-RU" w:eastAsia="ru-RU" w:bidi="ar-SA"/>
        </w:rPr>
        <w:drawing>
          <wp:inline distT="0" distB="0" distL="0" distR="0">
            <wp:extent cx="5143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b/>
          <w:bCs/>
        </w:rPr>
        <w:t xml:space="preserve">         </w:t>
      </w:r>
      <w:r>
        <w:rPr>
          <w:sz w:val="28"/>
          <w:szCs w:val="28"/>
          <w:lang w:val="ru-RU"/>
        </w:rPr>
        <w:t xml:space="preserve">                                     </w:t>
      </w:r>
      <w:r>
        <w:rPr>
          <w:color w:val="FF0000"/>
          <w:sz w:val="28"/>
          <w:szCs w:val="28"/>
          <w:lang w:val="ru-RU"/>
        </w:rPr>
        <w:t xml:space="preserve"> </w:t>
      </w:r>
    </w:p>
    <w:p w:rsidR="008E683A" w:rsidRDefault="008E683A" w:rsidP="008E683A">
      <w:pPr>
        <w:pStyle w:val="a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8E683A" w:rsidRDefault="008E683A" w:rsidP="008E683A">
      <w:pPr>
        <w:pStyle w:val="2"/>
        <w:pBdr>
          <w:bottom w:val="single" w:sz="12" w:space="1" w:color="000000"/>
        </w:pBdr>
        <w:spacing w:before="0" w:after="0"/>
        <w:jc w:val="center"/>
      </w:pPr>
      <w:r>
        <w:rPr>
          <w:rFonts w:ascii="Times New Roman" w:hAnsi="Times New Roman"/>
          <w:i w:val="0"/>
        </w:rPr>
        <w:t>КИЇВСЬКОЇ ОБЛАСТІ</w:t>
      </w:r>
    </w:p>
    <w:p w:rsidR="008E683A" w:rsidRDefault="008E683A" w:rsidP="008E683A">
      <w:pPr>
        <w:shd w:val="clear" w:color="auto" w:fill="FFFFFF"/>
        <w:jc w:val="center"/>
        <w:rPr>
          <w:sz w:val="20"/>
          <w:szCs w:val="20"/>
        </w:rPr>
      </w:pPr>
      <w:r>
        <w:rPr>
          <w:rFonts w:cs="Times New Roman"/>
          <w:b/>
          <w:bCs/>
          <w:sz w:val="28"/>
          <w:szCs w:val="28"/>
        </w:rPr>
        <w:t>ВІСІМДЕСЯТА</w:t>
      </w:r>
      <w:r>
        <w:rPr>
          <w:rFonts w:cs="Times New Roman"/>
          <w:b/>
          <w:sz w:val="28"/>
          <w:szCs w:val="28"/>
        </w:rPr>
        <w:t xml:space="preserve"> СЕСІЯ СЬОМОГО СКЛИКАННЯ </w:t>
      </w:r>
    </w:p>
    <w:p w:rsidR="008E683A" w:rsidRDefault="008E683A" w:rsidP="008E683A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8E683A" w:rsidRDefault="008E683A" w:rsidP="008E683A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8E683A" w:rsidRDefault="008E683A" w:rsidP="008E683A">
      <w:pPr>
        <w:pStyle w:val="1"/>
        <w:spacing w:before="0" w:after="0"/>
        <w:rPr>
          <w:iCs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  <w:lang w:val="ru-RU"/>
        </w:rPr>
        <w:t>25</w:t>
      </w:r>
      <w:r>
        <w:rPr>
          <w:rFonts w:ascii="Times New Roman" w:hAnsi="Times New Roman"/>
          <w:sz w:val="28"/>
          <w:szCs w:val="28"/>
        </w:rPr>
        <w:t xml:space="preserve"> »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2020 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 4985 -80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8E683A" w:rsidRDefault="008E683A" w:rsidP="008E683A">
      <w:pPr>
        <w:keepNext/>
        <w:spacing w:line="100" w:lineRule="atLeast"/>
        <w:rPr>
          <w:rFonts w:eastAsia="Times New Roman" w:cs="Times New Roman"/>
          <w:b/>
          <w:bCs/>
          <w:iCs/>
          <w:sz w:val="26"/>
          <w:szCs w:val="26"/>
        </w:rPr>
      </w:pPr>
    </w:p>
    <w:p w:rsidR="008E683A" w:rsidRDefault="008E683A" w:rsidP="008E683A">
      <w:pPr>
        <w:keepNext/>
        <w:spacing w:line="100" w:lineRule="atLeast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Про безоплатну передачу необоротних активів</w:t>
      </w:r>
    </w:p>
    <w:p w:rsidR="008E683A" w:rsidRDefault="008E683A" w:rsidP="008E683A">
      <w:pPr>
        <w:keepNext/>
        <w:spacing w:line="100" w:lineRule="atLeast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з балансу КП “</w:t>
      </w:r>
      <w:proofErr w:type="spellStart"/>
      <w:r>
        <w:rPr>
          <w:rFonts w:eastAsia="Times New Roman" w:cs="Times New Roman"/>
          <w:b/>
          <w:bCs/>
          <w:iCs/>
          <w:sz w:val="26"/>
          <w:szCs w:val="26"/>
        </w:rPr>
        <w:t>Бучанське</w:t>
      </w:r>
      <w:proofErr w:type="spellEnd"/>
      <w:r>
        <w:rPr>
          <w:rFonts w:eastAsia="Times New Roman" w:cs="Times New Roman"/>
          <w:b/>
          <w:bCs/>
          <w:iCs/>
          <w:sz w:val="26"/>
          <w:szCs w:val="26"/>
        </w:rPr>
        <w:t xml:space="preserve"> УЖКГ”</w:t>
      </w:r>
    </w:p>
    <w:p w:rsidR="008E683A" w:rsidRDefault="008E683A" w:rsidP="008E683A">
      <w:pPr>
        <w:spacing w:line="100" w:lineRule="atLeast"/>
        <w:rPr>
          <w:rFonts w:eastAsia="Times New Roman" w:cs="Times New Roman"/>
          <w:bCs/>
          <w:iCs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 xml:space="preserve">на баланс КП “Бучазеленбуд” </w:t>
      </w:r>
    </w:p>
    <w:p w:rsidR="008E683A" w:rsidRDefault="008E683A" w:rsidP="008E683A">
      <w:pPr>
        <w:keepNext/>
        <w:spacing w:line="288" w:lineRule="auto"/>
        <w:ind w:firstLine="708"/>
        <w:jc w:val="both"/>
        <w:rPr>
          <w:rFonts w:eastAsia="Times New Roman" w:cs="Times New Roman"/>
          <w:bCs/>
          <w:iCs/>
        </w:rPr>
      </w:pPr>
    </w:p>
    <w:p w:rsidR="008E683A" w:rsidRDefault="008E683A" w:rsidP="008E683A">
      <w:pPr>
        <w:spacing w:line="288" w:lineRule="auto"/>
        <w:ind w:firstLine="708"/>
        <w:jc w:val="both"/>
        <w:rPr>
          <w:rFonts w:eastAsia="Times New Roman" w:cs="Times New Roman"/>
          <w:b/>
          <w:bCs/>
        </w:rPr>
      </w:pPr>
      <w:r>
        <w:rPr>
          <w:rFonts w:eastAsia="Times New Roman" w:cs="Times New Roman"/>
          <w:bCs/>
          <w:iCs/>
        </w:rPr>
        <w:t xml:space="preserve">Враховуючи необхідність збереження та належного обслуговування матеріальних цінностей за основним місцем їх розташування 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8E683A" w:rsidRDefault="008E683A" w:rsidP="008E683A">
      <w:pPr>
        <w:spacing w:line="288" w:lineRule="auto"/>
        <w:jc w:val="both"/>
        <w:rPr>
          <w:rFonts w:eastAsia="Times New Roman" w:cs="Times New Roman"/>
          <w:b/>
          <w:bCs/>
        </w:rPr>
      </w:pPr>
    </w:p>
    <w:p w:rsidR="008E683A" w:rsidRDefault="008E683A" w:rsidP="008E683A">
      <w:pPr>
        <w:spacing w:line="288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ВИРІШИЛА</w:t>
      </w:r>
      <w:r>
        <w:rPr>
          <w:rFonts w:eastAsia="Times New Roman" w:cs="Times New Roman"/>
        </w:rPr>
        <w:t>:</w:t>
      </w:r>
    </w:p>
    <w:p w:rsidR="008E683A" w:rsidRDefault="008E683A" w:rsidP="008E683A">
      <w:pPr>
        <w:numPr>
          <w:ilvl w:val="0"/>
          <w:numId w:val="2"/>
        </w:numPr>
        <w:spacing w:line="288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Передати безоплатно з балансу </w:t>
      </w:r>
      <w:r>
        <w:rPr>
          <w:rFonts w:eastAsia="Times New Roman" w:cs="Times New Roman"/>
          <w:iCs/>
          <w:sz w:val="26"/>
          <w:szCs w:val="26"/>
        </w:rPr>
        <w:t>КП “</w:t>
      </w:r>
      <w:proofErr w:type="spellStart"/>
      <w:r>
        <w:rPr>
          <w:rFonts w:eastAsia="Times New Roman" w:cs="Times New Roman"/>
          <w:iCs/>
          <w:sz w:val="26"/>
          <w:szCs w:val="26"/>
        </w:rPr>
        <w:t>Бучанське</w:t>
      </w:r>
      <w:proofErr w:type="spellEnd"/>
      <w:r>
        <w:rPr>
          <w:rFonts w:eastAsia="Times New Roman" w:cs="Times New Roman"/>
          <w:iCs/>
          <w:sz w:val="26"/>
          <w:szCs w:val="26"/>
        </w:rPr>
        <w:t xml:space="preserve"> УЖКГ” на баланс КП “Бучазеленбуд” </w:t>
      </w:r>
      <w:r>
        <w:rPr>
          <w:rFonts w:eastAsia="Times New Roman" w:cs="Times New Roman"/>
        </w:rPr>
        <w:t xml:space="preserve"> необоротні активи , згідно додатку.</w:t>
      </w:r>
    </w:p>
    <w:p w:rsidR="008E683A" w:rsidRDefault="008E683A" w:rsidP="008E683A">
      <w:pPr>
        <w:numPr>
          <w:ilvl w:val="0"/>
          <w:numId w:val="2"/>
        </w:numPr>
        <w:spacing w:line="288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Для проведення прийому-передачі необоротних активів створити комісію у складі:</w:t>
      </w:r>
    </w:p>
    <w:p w:rsidR="008E683A" w:rsidRDefault="008E683A" w:rsidP="008E683A">
      <w:pPr>
        <w:spacing w:line="288" w:lineRule="auto"/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Голова комісії: </w:t>
      </w:r>
      <w:proofErr w:type="spellStart"/>
      <w:r>
        <w:rPr>
          <w:rFonts w:eastAsia="Times New Roman" w:cs="Times New Roman"/>
        </w:rPr>
        <w:t>Шаправський</w:t>
      </w:r>
      <w:proofErr w:type="spellEnd"/>
      <w:r>
        <w:rPr>
          <w:rFonts w:eastAsia="Times New Roman" w:cs="Times New Roman"/>
        </w:rPr>
        <w:t xml:space="preserve"> Т.О. – перший заступник міського голови </w:t>
      </w:r>
    </w:p>
    <w:p w:rsidR="008E683A" w:rsidRDefault="008E683A" w:rsidP="008E683A">
      <w:pPr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Члени комісії: </w:t>
      </w:r>
    </w:p>
    <w:p w:rsidR="008E683A" w:rsidRDefault="008E683A" w:rsidP="008E683A">
      <w:pPr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Боровик О.С.-   головний бухгалтер КП </w:t>
      </w:r>
      <w:r>
        <w:rPr>
          <w:rFonts w:eastAsia="Times New Roman" w:cs="Times New Roman"/>
          <w:iCs/>
          <w:sz w:val="26"/>
          <w:szCs w:val="26"/>
        </w:rPr>
        <w:t>“Бучазеленбуд”</w:t>
      </w:r>
      <w:r>
        <w:rPr>
          <w:rFonts w:eastAsia="Times New Roman" w:cs="Times New Roman"/>
        </w:rPr>
        <w:t>;</w:t>
      </w:r>
    </w:p>
    <w:p w:rsidR="008E683A" w:rsidRDefault="008E683A" w:rsidP="008E683A">
      <w:pPr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</w:t>
      </w:r>
      <w:proofErr w:type="spellStart"/>
      <w:r>
        <w:rPr>
          <w:rFonts w:eastAsia="Times New Roman" w:cs="Times New Roman"/>
        </w:rPr>
        <w:t>Галущак</w:t>
      </w:r>
      <w:proofErr w:type="spellEnd"/>
      <w:r>
        <w:rPr>
          <w:rFonts w:eastAsia="Times New Roman" w:cs="Times New Roman"/>
        </w:rPr>
        <w:t xml:space="preserve"> В.М. - директор КП  </w:t>
      </w:r>
      <w:r>
        <w:rPr>
          <w:rFonts w:eastAsia="Times New Roman" w:cs="Times New Roman"/>
          <w:iCs/>
          <w:sz w:val="26"/>
          <w:szCs w:val="26"/>
        </w:rPr>
        <w:t>“Бучазеленбуд”</w:t>
      </w:r>
      <w:r>
        <w:rPr>
          <w:rFonts w:eastAsia="Times New Roman" w:cs="Times New Roman"/>
        </w:rPr>
        <w:t xml:space="preserve">;  </w:t>
      </w:r>
    </w:p>
    <w:p w:rsidR="008E683A" w:rsidRDefault="008E683A" w:rsidP="008E683A">
      <w:pPr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</w:t>
      </w:r>
      <w:proofErr w:type="spellStart"/>
      <w:r>
        <w:rPr>
          <w:rFonts w:eastAsia="Times New Roman" w:cs="Times New Roman"/>
        </w:rPr>
        <w:t>Докай</w:t>
      </w:r>
      <w:proofErr w:type="spellEnd"/>
      <w:r>
        <w:rPr>
          <w:rFonts w:eastAsia="Times New Roman" w:cs="Times New Roman"/>
        </w:rPr>
        <w:t xml:space="preserve"> О.А.- начальник відділу ЖКГ;  </w:t>
      </w:r>
    </w:p>
    <w:p w:rsidR="008E683A" w:rsidRDefault="008E683A" w:rsidP="008E683A">
      <w:pPr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</w:t>
      </w:r>
      <w:proofErr w:type="spellStart"/>
      <w:r>
        <w:rPr>
          <w:rFonts w:eastAsia="Times New Roman" w:cs="Times New Roman"/>
        </w:rPr>
        <w:t>Єренкова</w:t>
      </w:r>
      <w:proofErr w:type="spellEnd"/>
      <w:r>
        <w:rPr>
          <w:rFonts w:eastAsia="Times New Roman" w:cs="Times New Roman"/>
        </w:rPr>
        <w:t xml:space="preserve"> А.В. – головний бухгалтер КП “</w:t>
      </w:r>
      <w:proofErr w:type="spellStart"/>
      <w:r>
        <w:rPr>
          <w:rFonts w:eastAsia="Times New Roman" w:cs="Times New Roman"/>
        </w:rPr>
        <w:t>Бучанське</w:t>
      </w:r>
      <w:proofErr w:type="spellEnd"/>
      <w:r>
        <w:rPr>
          <w:rFonts w:eastAsia="Times New Roman" w:cs="Times New Roman"/>
        </w:rPr>
        <w:t xml:space="preserve"> УЖКГ”;</w:t>
      </w:r>
    </w:p>
    <w:p w:rsidR="008E683A" w:rsidRDefault="008E683A" w:rsidP="008E683A">
      <w:pPr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Кравчук В.Д. – начальник КП “</w:t>
      </w:r>
      <w:proofErr w:type="spellStart"/>
      <w:r>
        <w:rPr>
          <w:rFonts w:eastAsia="Times New Roman" w:cs="Times New Roman"/>
        </w:rPr>
        <w:t>Бучанське</w:t>
      </w:r>
      <w:proofErr w:type="spellEnd"/>
      <w:r>
        <w:rPr>
          <w:rFonts w:eastAsia="Times New Roman" w:cs="Times New Roman"/>
        </w:rPr>
        <w:t xml:space="preserve"> УЖКГ”.                                                                                                                   </w:t>
      </w:r>
    </w:p>
    <w:p w:rsidR="008E683A" w:rsidRDefault="008E683A" w:rsidP="008E683A">
      <w:pPr>
        <w:pStyle w:val="ListParagraph"/>
        <w:numPr>
          <w:ilvl w:val="0"/>
          <w:numId w:val="2"/>
        </w:numPr>
        <w:tabs>
          <w:tab w:val="left" w:pos="3720"/>
        </w:tabs>
        <w:spacing w:line="288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Прийом-передачу необоротних активів та матеріальних цінностей провести в термін до 31.12. 2020 року.</w:t>
      </w:r>
    </w:p>
    <w:p w:rsidR="008E683A" w:rsidRDefault="008E683A" w:rsidP="008E683A">
      <w:pPr>
        <w:pStyle w:val="ListParagraph"/>
        <w:numPr>
          <w:ilvl w:val="0"/>
          <w:numId w:val="2"/>
        </w:numPr>
        <w:tabs>
          <w:tab w:val="left" w:pos="3720"/>
        </w:tabs>
        <w:spacing w:line="288" w:lineRule="auto"/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E683A" w:rsidRDefault="008E683A" w:rsidP="008E683A">
      <w:pPr>
        <w:spacing w:line="288" w:lineRule="auto"/>
        <w:ind w:left="720"/>
        <w:rPr>
          <w:rFonts w:eastAsia="Times New Roman" w:cs="Times New Roman"/>
          <w:sz w:val="26"/>
          <w:szCs w:val="26"/>
        </w:rPr>
      </w:pPr>
    </w:p>
    <w:p w:rsidR="008E683A" w:rsidRDefault="008E683A" w:rsidP="008E683A">
      <w:pPr>
        <w:spacing w:line="288" w:lineRule="auto"/>
        <w:ind w:left="720"/>
        <w:rPr>
          <w:rFonts w:eastAsia="Times New Roman" w:cs="Times New Roman"/>
          <w:sz w:val="26"/>
          <w:szCs w:val="26"/>
        </w:rPr>
      </w:pPr>
    </w:p>
    <w:p w:rsidR="008E683A" w:rsidRDefault="008E683A" w:rsidP="008E683A">
      <w:pPr>
        <w:spacing w:line="288" w:lineRule="auto"/>
        <w:ind w:left="720"/>
        <w:rPr>
          <w:rFonts w:eastAsia="Times New Roman" w:cs="Times New Roman"/>
        </w:rPr>
      </w:pPr>
      <w:r>
        <w:rPr>
          <w:rFonts w:eastAsia="Times New Roman" w:cs="Times New Roman"/>
          <w:b/>
          <w:sz w:val="26"/>
          <w:szCs w:val="26"/>
        </w:rPr>
        <w:t xml:space="preserve">Міський голова                                                                                </w:t>
      </w:r>
      <w:proofErr w:type="spellStart"/>
      <w:r>
        <w:rPr>
          <w:rFonts w:eastAsia="Times New Roman" w:cs="Times New Roman"/>
          <w:b/>
          <w:sz w:val="26"/>
          <w:szCs w:val="26"/>
        </w:rPr>
        <w:t>А.П.Федорук</w:t>
      </w:r>
      <w:proofErr w:type="spellEnd"/>
    </w:p>
    <w:p w:rsidR="008E683A" w:rsidRDefault="008E683A" w:rsidP="008E683A">
      <w:pPr>
        <w:tabs>
          <w:tab w:val="left" w:pos="4382"/>
        </w:tabs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                                                                                </w:t>
      </w:r>
      <w:r>
        <w:rPr>
          <w:rFonts w:eastAsia="Times New Roman" w:cs="Times New Roman"/>
        </w:rPr>
        <w:t xml:space="preserve">                           </w:t>
      </w:r>
      <w:r>
        <w:rPr>
          <w:rFonts w:eastAsia="Times New Roman" w:cs="Times New Roman"/>
        </w:rPr>
        <w:t>Додаток</w:t>
      </w:r>
    </w:p>
    <w:p w:rsidR="008E683A" w:rsidRDefault="008E683A" w:rsidP="008E683A">
      <w:pPr>
        <w:tabs>
          <w:tab w:val="left" w:pos="5941"/>
        </w:tabs>
        <w:spacing w:line="288" w:lineRule="auto"/>
        <w:ind w:left="1559" w:hanging="1559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</w:t>
      </w:r>
      <w:r>
        <w:rPr>
          <w:rFonts w:eastAsia="Times New Roman" w:cs="Times New Roman"/>
        </w:rPr>
        <w:t xml:space="preserve">                           </w:t>
      </w:r>
      <w:r>
        <w:rPr>
          <w:rFonts w:eastAsia="Times New Roman" w:cs="Times New Roman"/>
        </w:rPr>
        <w:t>до рішення сесії Бучанської</w:t>
      </w:r>
    </w:p>
    <w:p w:rsidR="008E683A" w:rsidRDefault="008E683A" w:rsidP="008E683A">
      <w:pPr>
        <w:tabs>
          <w:tab w:val="left" w:pos="5941"/>
        </w:tabs>
        <w:spacing w:line="288" w:lineRule="auto"/>
        <w:ind w:left="1559" w:hanging="1559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</w:t>
      </w:r>
      <w:r>
        <w:rPr>
          <w:rFonts w:eastAsia="Times New Roman" w:cs="Times New Roman"/>
        </w:rPr>
        <w:t xml:space="preserve">                           </w:t>
      </w:r>
      <w:r>
        <w:rPr>
          <w:rFonts w:eastAsia="Times New Roman" w:cs="Times New Roman"/>
        </w:rPr>
        <w:t xml:space="preserve">міської ради </w:t>
      </w:r>
      <w:bookmarkStart w:id="0" w:name="_GoBack"/>
      <w:bookmarkEnd w:id="0"/>
      <w:r>
        <w:rPr>
          <w:rFonts w:eastAsia="Times New Roman" w:cs="Times New Roman"/>
        </w:rPr>
        <w:t>№ 4985</w:t>
      </w:r>
      <w:r>
        <w:rPr>
          <w:rFonts w:eastAsia="Times New Roman" w:cs="Times New Roman"/>
          <w:lang w:val="en-US"/>
        </w:rPr>
        <w:t>-</w:t>
      </w:r>
      <w:r>
        <w:rPr>
          <w:rFonts w:eastAsia="Times New Roman" w:cs="Times New Roman"/>
        </w:rPr>
        <w:t>80</w:t>
      </w:r>
      <w:r>
        <w:rPr>
          <w:rFonts w:eastAsia="Times New Roman" w:cs="Times New Roman"/>
          <w:lang w:val="en-US"/>
        </w:rPr>
        <w:t>-VІІ</w:t>
      </w:r>
    </w:p>
    <w:p w:rsidR="008E683A" w:rsidRDefault="008E683A" w:rsidP="008E683A">
      <w:pPr>
        <w:tabs>
          <w:tab w:val="left" w:pos="5941"/>
        </w:tabs>
        <w:spacing w:line="288" w:lineRule="auto"/>
        <w:ind w:left="1559" w:hanging="1559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</w:t>
      </w:r>
      <w:r>
        <w:rPr>
          <w:rFonts w:eastAsia="Times New Roman" w:cs="Times New Roman"/>
        </w:rPr>
        <w:t xml:space="preserve">                           </w:t>
      </w:r>
      <w:r>
        <w:rPr>
          <w:rFonts w:eastAsia="Times New Roman" w:cs="Times New Roman"/>
        </w:rPr>
        <w:t xml:space="preserve"> від 25 червня 2020 року</w:t>
      </w:r>
    </w:p>
    <w:p w:rsidR="008E683A" w:rsidRDefault="008E683A" w:rsidP="008E683A">
      <w:pPr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8E683A" w:rsidRDefault="008E683A" w:rsidP="008E683A">
      <w:pPr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8E683A" w:rsidRDefault="008E683A" w:rsidP="008E683A">
      <w:pPr>
        <w:spacing w:line="288" w:lineRule="auto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  <w:bCs/>
        </w:rPr>
        <w:t xml:space="preserve">Перелік необоротних активів  </w:t>
      </w:r>
      <w:r>
        <w:rPr>
          <w:rFonts w:eastAsia="Times New Roman" w:cs="Times New Roman"/>
          <w:b/>
          <w:bCs/>
          <w:iCs/>
          <w:sz w:val="26"/>
          <w:szCs w:val="26"/>
        </w:rPr>
        <w:t>КП “</w:t>
      </w:r>
      <w:proofErr w:type="spellStart"/>
      <w:r>
        <w:rPr>
          <w:rFonts w:eastAsia="Times New Roman" w:cs="Times New Roman"/>
          <w:b/>
          <w:bCs/>
          <w:iCs/>
          <w:sz w:val="26"/>
          <w:szCs w:val="26"/>
        </w:rPr>
        <w:t>Бучанське</w:t>
      </w:r>
      <w:proofErr w:type="spellEnd"/>
      <w:r>
        <w:rPr>
          <w:rFonts w:eastAsia="Times New Roman" w:cs="Times New Roman"/>
          <w:b/>
          <w:bCs/>
          <w:iCs/>
          <w:sz w:val="26"/>
          <w:szCs w:val="26"/>
        </w:rPr>
        <w:t xml:space="preserve"> УЖКГ”, що передаються КП “Бучазеленбуд” </w:t>
      </w:r>
      <w:r>
        <w:rPr>
          <w:rFonts w:eastAsia="Times New Roman" w:cs="Times New Roman"/>
          <w:b/>
          <w:bCs/>
        </w:rPr>
        <w:t xml:space="preserve"> </w:t>
      </w:r>
    </w:p>
    <w:tbl>
      <w:tblPr>
        <w:tblW w:w="0" w:type="auto"/>
        <w:tblInd w:w="-117" w:type="dxa"/>
        <w:tblLayout w:type="fixed"/>
        <w:tblLook w:val="0000" w:firstRow="0" w:lastRow="0" w:firstColumn="0" w:lastColumn="0" w:noHBand="0" w:noVBand="0"/>
      </w:tblPr>
      <w:tblGrid>
        <w:gridCol w:w="919"/>
        <w:gridCol w:w="3824"/>
        <w:gridCol w:w="1209"/>
        <w:gridCol w:w="1277"/>
        <w:gridCol w:w="1263"/>
        <w:gridCol w:w="1598"/>
      </w:tblGrid>
      <w:tr w:rsidR="008E683A" w:rsidTr="00913E88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№ </w:t>
            </w:r>
          </w:p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з/п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Найменування об`єкта</w:t>
            </w:r>
          </w:p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  <w:b/>
                <w:sz w:val="21"/>
                <w:szCs w:val="21"/>
              </w:rPr>
            </w:pPr>
            <w:r>
              <w:rPr>
                <w:rFonts w:eastAsia="Times New Roman" w:cs="Times New Roman"/>
                <w:b/>
              </w:rPr>
              <w:t>необоротних активів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  <w:sz w:val="21"/>
                <w:szCs w:val="21"/>
              </w:rPr>
              <w:t>Одиниця виміру</w:t>
            </w:r>
            <w:r>
              <w:rPr>
                <w:rFonts w:eastAsia="Times New Roman" w:cs="Times New Roman"/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Кількість 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Ціна за одиницю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</w:pPr>
            <w:r>
              <w:rPr>
                <w:rFonts w:eastAsia="Times New Roman" w:cs="Times New Roman"/>
                <w:b/>
              </w:rPr>
              <w:t>Сума , грн.</w:t>
            </w:r>
          </w:p>
        </w:tc>
      </w:tr>
      <w:tr w:rsidR="008E683A" w:rsidTr="00913E88">
        <w:trPr>
          <w:trHeight w:val="284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Calibri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83A" w:rsidRDefault="008E683A" w:rsidP="00913E88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lang w:val="uk-UA"/>
              </w:rPr>
            </w:pP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>Спірея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>березолиста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 xml:space="preserve"> “ТОР 80/100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</w:rPr>
            </w:pPr>
          </w:p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  <w:sz w:val="22"/>
                <w:szCs w:val="22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pStyle w:val="NoSpacing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</w:p>
          <w:p w:rsidR="008E683A" w:rsidRDefault="008E683A" w:rsidP="00913E88">
            <w:pPr>
              <w:pStyle w:val="NoSpacing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</w:p>
          <w:p w:rsidR="008E683A" w:rsidRDefault="008E683A" w:rsidP="00913E88">
            <w:pPr>
              <w:pStyle w:val="NoSpacing"/>
              <w:jc w:val="center"/>
              <w:rPr>
                <w:rFonts w:eastAsia="Calibri" w:cs="Times New Roman"/>
                <w:color w:val="000000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uk-UA"/>
              </w:rPr>
              <w:t>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83A" w:rsidRDefault="008E683A" w:rsidP="00913E88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</w:p>
          <w:p w:rsidR="008E683A" w:rsidRDefault="008E683A" w:rsidP="00913E88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</w:p>
          <w:p w:rsidR="008E683A" w:rsidRDefault="008E683A" w:rsidP="00913E88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95,00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</w:p>
          <w:p w:rsidR="008E683A" w:rsidRDefault="008E683A" w:rsidP="00913E88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</w:p>
          <w:p w:rsidR="008E683A" w:rsidRDefault="008E683A" w:rsidP="00913E88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47 500,00</w:t>
            </w:r>
          </w:p>
        </w:tc>
      </w:tr>
      <w:tr w:rsidR="008E683A" w:rsidTr="00913E88">
        <w:trPr>
          <w:trHeight w:val="454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Calibri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83A" w:rsidRDefault="008E683A" w:rsidP="00913E88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lang w:val="uk-UA"/>
              </w:rPr>
            </w:pP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>Спірея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>тунберга”Фуджіно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 xml:space="preserve"> Пінк”80/100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</w:rPr>
            </w:pPr>
          </w:p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</w:rPr>
            </w:pPr>
          </w:p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</w:rPr>
            </w:pPr>
          </w:p>
          <w:p w:rsidR="008E683A" w:rsidRDefault="008E683A" w:rsidP="00913E88">
            <w:pPr>
              <w:spacing w:line="100" w:lineRule="atLeast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Times New Roman" w:cs="Times New Roman"/>
              </w:rPr>
              <w:t>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83A" w:rsidRDefault="008E683A" w:rsidP="00913E88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</w:p>
          <w:p w:rsidR="008E683A" w:rsidRDefault="008E683A" w:rsidP="00913E88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</w:p>
          <w:p w:rsidR="008E683A" w:rsidRDefault="008E683A" w:rsidP="00913E88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55,00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</w:p>
          <w:p w:rsidR="008E683A" w:rsidRDefault="008E683A" w:rsidP="00913E88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</w:p>
          <w:p w:rsidR="008E683A" w:rsidRDefault="008E683A" w:rsidP="00913E88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27 500,00</w:t>
            </w:r>
          </w:p>
        </w:tc>
      </w:tr>
      <w:tr w:rsidR="008E683A" w:rsidTr="00913E88">
        <w:trPr>
          <w:trHeight w:val="284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Calibri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3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83A" w:rsidRDefault="008E683A" w:rsidP="00913E88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lang w:val="uk-UA"/>
              </w:rPr>
            </w:pP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>Спірея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>вангутта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 xml:space="preserve"> 120/ 140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</w:rPr>
            </w:pPr>
          </w:p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</w:rPr>
            </w:pPr>
          </w:p>
          <w:p w:rsidR="008E683A" w:rsidRDefault="008E683A" w:rsidP="00913E88">
            <w:pPr>
              <w:spacing w:line="100" w:lineRule="atLeast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Times New Roman" w:cs="Times New Roman"/>
              </w:rPr>
              <w:t>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83A" w:rsidRDefault="008E683A" w:rsidP="00913E88">
            <w:pPr>
              <w:spacing w:before="30" w:line="206" w:lineRule="exact"/>
              <w:jc w:val="center"/>
              <w:rPr>
                <w:rFonts w:eastAsia="Calibri" w:cs="Times New Roman"/>
                <w:color w:val="000000"/>
              </w:rPr>
            </w:pPr>
          </w:p>
          <w:p w:rsidR="008E683A" w:rsidRDefault="008E683A" w:rsidP="00913E88">
            <w:pPr>
              <w:spacing w:before="30" w:line="206" w:lineRule="exact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70,00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</w:p>
          <w:p w:rsidR="008E683A" w:rsidRDefault="008E683A" w:rsidP="00913E88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35 000,00</w:t>
            </w:r>
          </w:p>
        </w:tc>
      </w:tr>
      <w:tr w:rsidR="008E683A" w:rsidTr="00913E88">
        <w:trPr>
          <w:trHeight w:val="284"/>
        </w:trPr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Calibri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83A" w:rsidRDefault="008E683A" w:rsidP="00913E88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lang w:val="uk-UA"/>
              </w:rPr>
            </w:pP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>Спірея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 xml:space="preserve"> японська “</w:t>
            </w: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>Літтл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 xml:space="preserve"> Принцес” 30/40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</w:rPr>
            </w:pPr>
          </w:p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</w:rPr>
            </w:pPr>
          </w:p>
          <w:p w:rsidR="008E683A" w:rsidRDefault="008E683A" w:rsidP="00913E88">
            <w:pPr>
              <w:spacing w:line="100" w:lineRule="atLeast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Times New Roman" w:cs="Times New Roman"/>
              </w:rPr>
              <w:t>500</w:t>
            </w: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83A" w:rsidRDefault="008E683A" w:rsidP="00913E88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</w:p>
          <w:p w:rsidR="008E683A" w:rsidRDefault="008E683A" w:rsidP="00913E88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55,00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</w:p>
          <w:p w:rsidR="008E683A" w:rsidRDefault="008E683A" w:rsidP="00913E88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27 500,00</w:t>
            </w:r>
          </w:p>
        </w:tc>
      </w:tr>
      <w:tr w:rsidR="008E683A" w:rsidTr="00913E88">
        <w:trPr>
          <w:trHeight w:val="607"/>
        </w:trPr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Calibri" w:cs="Times New Roman"/>
                <w:color w:val="000000"/>
                <w:sz w:val="22"/>
                <w:szCs w:val="22"/>
                <w:lang w:eastAsia="fa-IR" w:bidi="fa-IR"/>
              </w:rPr>
            </w:pPr>
            <w:r>
              <w:rPr>
                <w:rFonts w:eastAsia="Times New Roman" w:cs="Times New Roman"/>
              </w:rPr>
              <w:t>5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83A" w:rsidRDefault="008E683A" w:rsidP="00913E88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lang w:val="uk-UA"/>
              </w:rPr>
            </w:pP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>Спірея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>чпонська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 xml:space="preserve"> “Макрофіла”100/120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</w:rPr>
            </w:pPr>
          </w:p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</w:rPr>
            </w:pPr>
          </w:p>
          <w:p w:rsidR="008E683A" w:rsidRDefault="008E683A" w:rsidP="00913E88">
            <w:pPr>
              <w:spacing w:line="100" w:lineRule="atLeast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Times New Roman" w:cs="Times New Roman"/>
              </w:rPr>
              <w:t>500</w:t>
            </w: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83A" w:rsidRDefault="008E683A" w:rsidP="00913E88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</w:p>
          <w:p w:rsidR="008E683A" w:rsidRDefault="008E683A" w:rsidP="00913E88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55,00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</w:p>
          <w:p w:rsidR="008E683A" w:rsidRDefault="008E683A" w:rsidP="00913E88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27 500,00</w:t>
            </w:r>
          </w:p>
        </w:tc>
      </w:tr>
      <w:tr w:rsidR="008E683A" w:rsidTr="00913E88">
        <w:trPr>
          <w:trHeight w:val="284"/>
        </w:trPr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83A" w:rsidRDefault="008E683A" w:rsidP="00913E88">
            <w:pPr>
              <w:spacing w:line="100" w:lineRule="atLeast"/>
              <w:jc w:val="righ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b/>
              </w:rPr>
              <w:t>ВСЬОГО: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line="100" w:lineRule="atLeast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83A" w:rsidRDefault="008E683A" w:rsidP="00913E88">
            <w:pPr>
              <w:spacing w:before="30" w:line="206" w:lineRule="exact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3A" w:rsidRDefault="008E683A" w:rsidP="00913E88">
            <w:pPr>
              <w:spacing w:before="30" w:line="206" w:lineRule="exact"/>
              <w:jc w:val="center"/>
            </w:pPr>
            <w:r>
              <w:rPr>
                <w:rFonts w:eastAsia="Calibri" w:cs="Times New Roman"/>
                <w:b/>
                <w:bCs/>
                <w:color w:val="000000"/>
              </w:rPr>
              <w:t>165 000,00</w:t>
            </w:r>
          </w:p>
        </w:tc>
      </w:tr>
    </w:tbl>
    <w:p w:rsidR="008E683A" w:rsidRDefault="008E683A" w:rsidP="008E683A">
      <w:pPr>
        <w:spacing w:line="288" w:lineRule="auto"/>
        <w:jc w:val="center"/>
        <w:rPr>
          <w:rFonts w:eastAsia="Times New Roman" w:cs="Times New Roman"/>
          <w:b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E683A" w:rsidRDefault="008E683A" w:rsidP="008E683A">
      <w:pPr>
        <w:tabs>
          <w:tab w:val="left" w:pos="8490"/>
        </w:tabs>
        <w:spacing w:line="288" w:lineRule="auto"/>
        <w:ind w:left="720"/>
        <w:rPr>
          <w:rFonts w:eastAsia="Times New Roman" w:cs="Times New Roman"/>
          <w:sz w:val="16"/>
          <w:szCs w:val="16"/>
        </w:rPr>
      </w:pPr>
      <w:r>
        <w:rPr>
          <w:rFonts w:eastAsia="Times New Roman" w:cs="Times New Roman"/>
          <w:b/>
          <w:sz w:val="26"/>
          <w:szCs w:val="26"/>
        </w:rPr>
        <w:t xml:space="preserve">Секретар ради                                                                  </w:t>
      </w:r>
      <w:proofErr w:type="spellStart"/>
      <w:r>
        <w:rPr>
          <w:rFonts w:eastAsia="Times New Roman" w:cs="Times New Roman"/>
          <w:b/>
          <w:sz w:val="26"/>
          <w:szCs w:val="26"/>
        </w:rPr>
        <w:t>В.П.Олексюк</w:t>
      </w:r>
      <w:proofErr w:type="spellEnd"/>
    </w:p>
    <w:p w:rsidR="008E683A" w:rsidRDefault="008E683A" w:rsidP="008E683A">
      <w:pPr>
        <w:spacing w:line="100" w:lineRule="atLeast"/>
        <w:rPr>
          <w:rFonts w:eastAsia="Times New Roman" w:cs="Times New Roman"/>
          <w:sz w:val="16"/>
          <w:szCs w:val="16"/>
        </w:rPr>
      </w:pPr>
      <w:r>
        <w:rPr>
          <w:rFonts w:eastAsia="Times New Roman" w:cs="Times New Roman"/>
          <w:sz w:val="16"/>
          <w:szCs w:val="16"/>
        </w:rPr>
        <w:t xml:space="preserve">                  </w:t>
      </w:r>
      <w:proofErr w:type="spellStart"/>
      <w:r>
        <w:rPr>
          <w:rFonts w:eastAsia="Times New Roman" w:cs="Times New Roman"/>
          <w:sz w:val="16"/>
          <w:szCs w:val="16"/>
        </w:rPr>
        <w:t>Вик.Кравчук</w:t>
      </w:r>
      <w:proofErr w:type="spellEnd"/>
      <w:r>
        <w:rPr>
          <w:rFonts w:eastAsia="Times New Roman" w:cs="Times New Roman"/>
          <w:sz w:val="16"/>
          <w:szCs w:val="16"/>
        </w:rPr>
        <w:t xml:space="preserve"> В.Д.</w:t>
      </w:r>
    </w:p>
    <w:p w:rsidR="002517BE" w:rsidRDefault="002517BE"/>
    <w:sectPr w:rsidR="00251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55B"/>
    <w:rsid w:val="002517BE"/>
    <w:rsid w:val="0032555B"/>
    <w:rsid w:val="008E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A0A06"/>
  <w15:chartTrackingRefBased/>
  <w15:docId w15:val="{EB895084-4C05-4CB6-B42D-2A942A451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83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1">
    <w:name w:val="heading 1"/>
    <w:basedOn w:val="a"/>
    <w:next w:val="a0"/>
    <w:link w:val="10"/>
    <w:qFormat/>
    <w:rsid w:val="008E683A"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a"/>
    <w:next w:val="a0"/>
    <w:link w:val="20"/>
    <w:qFormat/>
    <w:rsid w:val="008E683A"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E683A"/>
    <w:rPr>
      <w:rFonts w:ascii="Cambria" w:eastAsia="Times New Roman" w:hAnsi="Cambria" w:cs="Times New Roman"/>
      <w:b/>
      <w:bCs/>
      <w:kern w:val="1"/>
      <w:sz w:val="32"/>
      <w:szCs w:val="32"/>
      <w:lang w:val="uk-UA" w:eastAsia="hi-IN" w:bidi="hi-IN"/>
    </w:rPr>
  </w:style>
  <w:style w:type="character" w:customStyle="1" w:styleId="20">
    <w:name w:val="Заголовок 2 Знак"/>
    <w:basedOn w:val="a1"/>
    <w:link w:val="2"/>
    <w:rsid w:val="008E683A"/>
    <w:rPr>
      <w:rFonts w:ascii="Cambria" w:eastAsia="Times New Roman" w:hAnsi="Cambria" w:cs="Times New Roman"/>
      <w:b/>
      <w:bCs/>
      <w:i/>
      <w:iCs/>
      <w:kern w:val="1"/>
      <w:sz w:val="28"/>
      <w:szCs w:val="28"/>
      <w:lang w:val="uk-UA" w:eastAsia="hi-IN" w:bidi="hi-IN"/>
    </w:rPr>
  </w:style>
  <w:style w:type="paragraph" w:customStyle="1" w:styleId="a4">
    <w:name w:val="Знак"/>
    <w:basedOn w:val="a"/>
    <w:rsid w:val="008E683A"/>
    <w:pPr>
      <w:spacing w:line="100" w:lineRule="atLeas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ListParagraph">
    <w:name w:val="List Paragraph"/>
    <w:basedOn w:val="a"/>
    <w:rsid w:val="008E683A"/>
    <w:pPr>
      <w:ind w:left="720"/>
    </w:pPr>
  </w:style>
  <w:style w:type="paragraph" w:customStyle="1" w:styleId="NoSpacing">
    <w:name w:val="No Spacing"/>
    <w:rsid w:val="008E683A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0">
    <w:name w:val="Body Text"/>
    <w:basedOn w:val="a"/>
    <w:link w:val="a5"/>
    <w:uiPriority w:val="99"/>
    <w:semiHidden/>
    <w:unhideWhenUsed/>
    <w:rsid w:val="008E683A"/>
    <w:pPr>
      <w:spacing w:after="120"/>
    </w:pPr>
    <w:rPr>
      <w:szCs w:val="21"/>
    </w:rPr>
  </w:style>
  <w:style w:type="character" w:customStyle="1" w:styleId="a5">
    <w:name w:val="Основной текст Знак"/>
    <w:basedOn w:val="a1"/>
    <w:link w:val="a0"/>
    <w:uiPriority w:val="99"/>
    <w:semiHidden/>
    <w:rsid w:val="008E683A"/>
    <w:rPr>
      <w:rFonts w:ascii="Times New Roman" w:eastAsia="SimSun" w:hAnsi="Times New Roman" w:cs="Mangal"/>
      <w:kern w:val="1"/>
      <w:sz w:val="24"/>
      <w:szCs w:val="21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3051</Characters>
  <Application>Microsoft Office Word</Application>
  <DocSecurity>0</DocSecurity>
  <Lines>25</Lines>
  <Paragraphs>7</Paragraphs>
  <ScaleCrop>false</ScaleCrop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2020-07-03T09:01:00Z</dcterms:created>
  <dcterms:modified xsi:type="dcterms:W3CDTF">2020-07-03T09:02:00Z</dcterms:modified>
</cp:coreProperties>
</file>